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2020 38 vom 26. Juni 2020</w:t>
      </w:r>
    </w:p>
    <w:p>
      <w:r>
        <w:t>GR Gerichte, 2020-06-26, DE</w:t>
      </w:r>
    </w:p>
    <w:p>
      <w:r>
        <w:rPr>
          <w:b/>
        </w:rPr>
        <w:t xml:space="preserve">Quelle: </w:t>
      </w:r>
      <w:r>
        <w:t>https://mcp.opencaselaw.ch/entscheid/gr_gerichte_SK2 2020 38</w:t>
      </w:r>
    </w:p>
    <w:p>
      <w:r>
        <w:t>FR: GR_GERICHTE SK2 2020 38 du 26 juin 2020</w:t>
      </w:r>
    </w:p>
    <w:p>
      <w:r>
        <w:t>IT: GR_GERICHTE SK2 2020 38 del 26 giugno 2020</w:t>
      </w:r>
    </w:p>
    <w:p>
      <w:pPr>
        <w:pStyle w:val="Heading2"/>
      </w:pPr>
      <w:r>
        <w:t>Regeste</w:t>
      </w:r>
    </w:p>
    <w:p>
      <w:r>
        <w:t>üble Nachrede und Verletzung des Geheim- und Privatbereichs durch Aufnahmegeräte | Beschwerde gegen Regionalgericht (früher Bezirksgericht)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Juli 2020</w:t>
      </w:r>
    </w:p>
    <w:p>
      <w:r>
        <w:rPr>
          <w:b/>
        </w:rPr>
        <w:t>E. 2</w:t>
      </w:r>
    </w:p>
    <w:p>
      <w:r>
        <w:t>/ 6 In Erwägung, – dass A._____ mit Strafbefehl der D._____ vom 6. Mai 2019, mitgeteilt am 8. Mai 2019, der üblen Nachrede gemäss Art. 173 Ziff. 1 StGB sowie der Verlet- zung des Geheim- und Privatbereichs durch Aufnahmegeräte gemäss Art. 179quater Abs. 1 StGB schuldig gesprochen wurde, – dass sie hierfür mit einer Geldstrafe von 15 Tagessätzen zu je CHF 50.00, bedingt aufgeschoben bei einer Probezeit von 2 Jahren sowie mit einer Busse von CHF 300.00, bei schuldhafter Nichtbezahlung mit einer Ersatzfreiheitsstra- fe von 6 Tagen, bestraft wurde, – dass A._____ gegen den Strafbefehl am 4. Juni 2019 (Datum der Übergabe an die Schweizerische Botschaft in Wien) bei der D._____ Einsprache erhob, – dass die D._____ mit Verfügung vom 12. September 2019 den Strafbefehl gestützt auf Art. 355 Abs. 3 lit. a und 356 Abs. 1 und 2 StPO an das Regional- gericht Viamala überwies, dabei am Strafbefehl festhielt und beantragte, die Einsprache für ungültig zu erklären und einen Nichteintretensentscheid zu fäl- len, – dass das Regionalgericht Viamala am 19. Mai 2020 einen Nichteintretensbe- schluss erliess und den Strafbefehl der D._____ vom 6./8. Mai 2019 für rechtskräftig erklärte, – dass das Gericht begründend ausführte, die Einsprache gegen den Strafbe- fehl sei verspätet eingereicht worden, weshalb sie ungültig sei und mangels entsprechender Prozessvoraussetzung nicht auf sie eingetreten werden kön- ne, – dass der Nichteintretensbeschluss A._____ gemäss Track &amp; Trace (CH und AT) am 4. Juni 2020 durch die Österreichische Post zugestellt wurde (Akten Regionalgericht, act. I.2.), – dass A._____ mit Email vom 8. Juni 2020 beim Regionalgericht Viamala "Ein- spruch gegen den Strafbefehl der D._____ vom 6/8 Mai 2019" einreichte, – dass sie dabei unter Bezugnahme auf ein "Schreiben vom 20.05.2020" aus- führt, sie nehme die "unter Punkt 4 erwähnte – Möglichkeit des Einspruchs dankend wahr",</w:t>
      </w:r>
    </w:p>
    <w:p>
      <w:r>
        <w:rPr>
          <w:b/>
        </w:rPr>
        <w:t>E. 3</w:t>
      </w:r>
    </w:p>
    <w:p>
      <w:r>
        <w:t>/ 6 – dass es sich dabei um die in Ziff. 4 des Nichteintretensbeschlusses des Regi- onalgerichts Viamala vom 19. Mai 2020 aufgeführte Rechtsmittelbelehrung handeln muss und die Eingabe als Beschwerde gegen ebendiesen Beschluss entgegenzunehmen ist, – dass das Regionalgericht Viamala die Beschwerde samt Verfahrensakten mit Schreiben vom 17. Juni 2020 an das Kantonsgericht von Graubünden weiter- leitete, – dass gegen Beschlüsse der erstinstanzlichen Gerichte innert zehn Tagen seit Zustellung schriftlich und begründet beim Kantonsgericht Beschwerde geführt werden kann (Art. 393 Abs. 1 lit. b und Art. 396 StPO, Art. 22 des Ein- führungsgesetzes zur Schweizerischen Strafprozessordnung [EGzStPO; BR 350.100]), – dass strafprozessuale Parteieingaben bei elektronischer Übermittlung mit ei- ner anerkannten elektronischen Signatur versehen sein müssen, damit sicher- gestellt ist, dass eine Eingabe von einem bestimmten Urheber stammt und während der Übermittlung nicht verändert wurde (Art. 110 Abs. 2 StPO; Peter Hafner/Eliane Fischer, in: Niggli/Heer/Wiprächtiger [Hrsg.], BSK-StPO, 2. Auf- lage, Basel 2014, Art. 110 N 16), – dass einzig die qualifizierte elektronische Signatur der handschriftlichen Un- terschrift gleichgestellt ist (vgl. Art. 14 Abs. 2bis OR), weshalb eine Eingabe mittels gewöhnlicher Email den Formerfordernissen nicht zu genügen vermag und nicht fristwahrend ist (Viktor Lieber, in: Donatsch/Hansjakob/Lieber, StPO Komm., 2. Auflage, Zürich 2014, Art. 110 N 7a), – dass die E-Mail vom 8. Juni 2020 den aufgeführten Formvorschriften nicht genügt, weshalb auf die Beschwerde nicht einzutreten ist, – dass die Beschwerdeführerin im Nachgang zu ihrer Email vom 8. Juni 2020 eine weitere Beschwerde gegen den Nichteintretensbeschluss des Regional- gerichts Viamala vom 19. Mai 2020 beim Kantonsgericht von Graubünden ein- reichte, – dass diese Eingabe indessen nicht fristgerecht erfolgte, – dass nämlich der Nichteintretensbeschluss der Beschwerdeführerin am 4. Juni 2020 zugegangen ist (Track &amp; Trace, Akten Regionalgericht, act. I.2.),</w:t>
      </w:r>
    </w:p>
    <w:p>
      <w:r>
        <w:rPr>
          <w:b/>
        </w:rPr>
        <w:t>E. 3.3</w:t>
      </w:r>
    </w:p>
    <w:p>
      <w:r>
        <w:t>mit weiteren Hinweisen), – dass die Übergabe der Rechtsschrift an die Schweizerische Post am 17. Juni 2020, somit nach Ablauf der gesetzlich geregelten und damit nicht erstreckba- ren 10-tägigen Beschwerdefrist erfolgte (Track &amp; Trace, Akten Kantonsgericht, act. A.2), – dass somit infolge verspäteter Eingabe auch auf diese Beschwerde nicht ein- getreten werden kann, – dass die Beschwerde im Übrigen auch den Begründungsanforderungen nach Art. 385 Abs. 1 StPO nicht entspricht, – dass sich die Beschwerdeführerin namentlich mit den Erwägungen mit denen der Nichteintretensbeschluss begründet wurde (verspätete Einreichung der Einsprache gegen den Strafbefehl, fehlende Prozessvoraussetzung) mit kei- nem Wort auseinandersetzt, – dass somit auch mangels rechtsgenügender Begründung auf die Beschwerde nicht eingetreten werden kann, – dass schliesslich am 18. Juni 2020 ein weiterer "Einspruch gegen den Strafbe- fehl der D._____ vom 6/8 Mai 2019" (recte wohl Beschwerde gegen den Nichteintretensbeschluss des Regionalgerichts Viamala vom 19. Mai 2020) bei der Staatsanwaltschaft einging und von dieser am 22. Juni 2020 an das Kan- tonsgericht weitergeleitet wurde, – dass auch diese Eingabe erst am 16. Juni 2020 der Schweizerischen Post übergeben wurde und damit die am 15. Juni 2020 endende Beschwerdefrist nicht eingehalten wurde (Track &amp; Trace, Akten Kantonsgericht, act. A.3), – dass auch diese Eingabe den Begründungsanforderungen von Art. 385 Abs. 1 StPO nicht entspricht,</w:t>
      </w:r>
    </w:p>
    <w:p>
      <w:r>
        <w:rPr>
          <w:b/>
        </w:rPr>
        <w:t>E. 4</w:t>
      </w:r>
    </w:p>
    <w:p>
      <w:r>
        <w:t>/ 6 – dass die zehntägige Frist demzufolge unter Berücksichtigung des Fristenlaufs an Samstagen und Sonntagen (Art. 90 Abs. 2 StPO) am 15. Juni 2020 endete, – dass die Postaufgabe bei der Österreichischen Post zwar am 15. Juni (Post- stempel) erfolgte, – dass jedoch der Übergabe einer Sendung an eine ausländische Postgesell- schaft gemäss Art. 91 Abs. 2 StPO keine fristwahrende Wirkung zukommt (vgl. Verfügung des Bundesstrafgerichts SK.2012.45 vom 27. Februar 2013 E.</w:t>
      </w:r>
    </w:p>
    <w:p>
      <w:r>
        <w:rPr>
          <w:b/>
        </w:rPr>
        <w:t>E. 5</w:t>
      </w:r>
    </w:p>
    <w:p>
      <w:r>
        <w:t>/ 6 – dass somit auf diese Eingabe ebenfalls nicht einzutreten ist, – dass die Beschwerdeführerin bei diesem Ausgang des Verfahrens kosten- pflichtig wird (Art. 428 Abs. 1 StPO), – dass gemäss Art. 8 der kantonalen Verordnung über die Gerichtsgebühren in Strafverfahren (VGS; BR 350.210) für Entscheide im Beschwerdeverfahren eine Gerichtsgebühr zwischen CHF 1'000.-- und CHF 5'000.-- zu erheben ist, – dass für das vorliegende Verfahren eine Gerichtsgebühr von CHF 1'500.-- er- hoben wird, – dass der Vorsitzende der II. Strafkammer infolge des offensichtlichen Mangels der Beschwerden in Anwendung von Art. 18 Abs. 3 des Gerichtsorganisati- onsgesetzes (GOG; BR 173.000) in einzelrichterlicher Kompetenz entschei- det, – dass keine Parteientschädigungen zugesprochen werden, zumal von den Be- schwerdegegnern keine Beschwerdeantworten eingeholt wurden und diesen somit für das vorliegende Verfahren kein Aufwand entstanden ist,</w:t>
      </w:r>
    </w:p>
    <w:p>
      <w:r>
        <w:rPr>
          <w:b/>
        </w:rPr>
        <w:t>E. 6</w:t>
      </w:r>
    </w:p>
    <w:p>
      <w:r>
        <w:t>/ 6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